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F249" w14:textId="77777777" w:rsidR="00634983" w:rsidRDefault="00634983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20"/>
        </w:rPr>
      </w:pPr>
    </w:p>
    <w:p w14:paraId="40A2988F" w14:textId="77777777" w:rsidR="00634983" w:rsidRDefault="00634983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20"/>
        </w:rPr>
      </w:pPr>
    </w:p>
    <w:p w14:paraId="56926200" w14:textId="77777777" w:rsidR="00634983" w:rsidRDefault="00634983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20"/>
        </w:rPr>
      </w:pPr>
    </w:p>
    <w:p w14:paraId="443312C1" w14:textId="77777777" w:rsidR="0041349B" w:rsidRPr="00F93FE0" w:rsidRDefault="0041349B" w:rsidP="00E7753F">
      <w:pPr>
        <w:pStyle w:val="NoSpacing"/>
        <w:tabs>
          <w:tab w:val="center" w:pos="4510"/>
          <w:tab w:val="left" w:pos="7889"/>
        </w:tabs>
        <w:jc w:val="center"/>
        <w:outlineLvl w:val="0"/>
        <w:rPr>
          <w:rFonts w:eastAsia="Arial" w:cstheme="minorHAnsi"/>
          <w:b/>
          <w:bCs/>
          <w:sz w:val="20"/>
          <w:szCs w:val="20"/>
        </w:rPr>
      </w:pPr>
      <w:r w:rsidRPr="00F93FE0">
        <w:rPr>
          <w:rFonts w:eastAsia="Arial" w:cstheme="minorHAnsi"/>
          <w:b/>
          <w:bCs/>
          <w:sz w:val="20"/>
          <w:szCs w:val="20"/>
        </w:rPr>
        <w:t>Key Information Document</w:t>
      </w:r>
    </w:p>
    <w:p w14:paraId="76633EA5" w14:textId="77777777" w:rsidR="0041349B" w:rsidRPr="00F93FE0" w:rsidRDefault="0041349B" w:rsidP="0041349B">
      <w:pPr>
        <w:pStyle w:val="NoSpacing"/>
        <w:tabs>
          <w:tab w:val="center" w:pos="4510"/>
          <w:tab w:val="left" w:pos="7889"/>
        </w:tabs>
        <w:jc w:val="center"/>
        <w:rPr>
          <w:rFonts w:eastAsia="Arial" w:cstheme="minorHAnsi"/>
          <w:b/>
          <w:bCs/>
          <w:sz w:val="20"/>
          <w:szCs w:val="20"/>
          <w:u w:val="single"/>
        </w:rPr>
      </w:pPr>
    </w:p>
    <w:p w14:paraId="58672A30" w14:textId="29B821D4" w:rsidR="0041349B" w:rsidRPr="00F93FE0" w:rsidRDefault="0041349B" w:rsidP="0041349B">
      <w:pPr>
        <w:pStyle w:val="NoSpacing"/>
        <w:tabs>
          <w:tab w:val="center" w:pos="4510"/>
          <w:tab w:val="left" w:pos="7889"/>
        </w:tabs>
        <w:rPr>
          <w:rFonts w:eastAsia="Arial" w:cstheme="minorHAnsi"/>
          <w:bCs/>
          <w:sz w:val="20"/>
          <w:szCs w:val="20"/>
        </w:rPr>
      </w:pPr>
      <w:r w:rsidRPr="00F93FE0">
        <w:rPr>
          <w:rFonts w:eastAsia="Arial" w:cstheme="minorHAnsi"/>
          <w:bCs/>
          <w:sz w:val="20"/>
          <w:szCs w:val="20"/>
        </w:rPr>
        <w:t xml:space="preserve">This document sets out key information about </w:t>
      </w:r>
      <w:r w:rsidR="00C93B64" w:rsidRPr="00F93FE0">
        <w:rPr>
          <w:rFonts w:eastAsia="Arial" w:cstheme="minorHAnsi"/>
          <w:bCs/>
          <w:sz w:val="20"/>
          <w:szCs w:val="20"/>
        </w:rPr>
        <w:t xml:space="preserve">the </w:t>
      </w:r>
      <w:r w:rsidRPr="00F93FE0">
        <w:rPr>
          <w:rFonts w:eastAsia="Arial" w:cstheme="minorHAnsi"/>
          <w:bCs/>
          <w:sz w:val="20"/>
          <w:szCs w:val="20"/>
        </w:rPr>
        <w:t xml:space="preserve">relationship </w:t>
      </w:r>
      <w:r w:rsidR="00C93B64" w:rsidRPr="00F93FE0">
        <w:rPr>
          <w:rFonts w:eastAsia="Arial" w:cstheme="minorHAnsi"/>
          <w:bCs/>
          <w:sz w:val="20"/>
          <w:szCs w:val="20"/>
        </w:rPr>
        <w:t>between the Personal Service Company (PSC) and First Technical Recruitment</w:t>
      </w:r>
      <w:r w:rsidR="008A7DD8">
        <w:rPr>
          <w:rFonts w:eastAsia="Arial" w:cstheme="minorHAnsi"/>
          <w:bCs/>
          <w:sz w:val="20"/>
          <w:szCs w:val="20"/>
        </w:rPr>
        <w:t xml:space="preserve"> Limited</w:t>
      </w:r>
      <w:r w:rsidR="00C93B64" w:rsidRPr="00F93FE0">
        <w:rPr>
          <w:rFonts w:eastAsia="Arial" w:cstheme="minorHAnsi"/>
          <w:bCs/>
          <w:sz w:val="20"/>
          <w:szCs w:val="20"/>
        </w:rPr>
        <w:t xml:space="preserve">. First Technical Recruitment </w:t>
      </w:r>
      <w:r w:rsidR="008A7DD8">
        <w:rPr>
          <w:rFonts w:eastAsia="Arial" w:cstheme="minorHAnsi"/>
          <w:bCs/>
          <w:sz w:val="20"/>
          <w:szCs w:val="20"/>
        </w:rPr>
        <w:t xml:space="preserve">Limited </w:t>
      </w:r>
      <w:r w:rsidR="00C93B64" w:rsidRPr="00F93FE0">
        <w:rPr>
          <w:rFonts w:eastAsia="Arial" w:cstheme="minorHAnsi"/>
          <w:bCs/>
          <w:sz w:val="20"/>
          <w:szCs w:val="20"/>
        </w:rPr>
        <w:t>will pay the PSC a gross payment inclusive of</w:t>
      </w:r>
      <w:r w:rsidR="00E40EF1" w:rsidRPr="00F93FE0">
        <w:rPr>
          <w:rFonts w:eastAsia="Arial" w:cstheme="minorHAnsi"/>
          <w:bCs/>
          <w:sz w:val="20"/>
          <w:szCs w:val="20"/>
        </w:rPr>
        <w:t xml:space="preserve"> all employment costs</w:t>
      </w:r>
      <w:r w:rsidRPr="00F93FE0">
        <w:rPr>
          <w:rFonts w:eastAsia="Arial" w:cstheme="minorHAnsi"/>
          <w:bCs/>
          <w:sz w:val="20"/>
          <w:szCs w:val="20"/>
        </w:rPr>
        <w:t>.</w:t>
      </w:r>
      <w:r w:rsidR="00E40EF1" w:rsidRPr="00F93FE0">
        <w:rPr>
          <w:rFonts w:eastAsia="Arial" w:cstheme="minorHAnsi"/>
          <w:bCs/>
          <w:sz w:val="20"/>
          <w:szCs w:val="20"/>
        </w:rPr>
        <w:t xml:space="preserve"> The PSC</w:t>
      </w:r>
      <w:r w:rsidR="00B85825" w:rsidRPr="00F93FE0">
        <w:rPr>
          <w:rFonts w:eastAsia="Arial" w:cstheme="minorHAnsi"/>
          <w:bCs/>
          <w:sz w:val="20"/>
          <w:szCs w:val="20"/>
        </w:rPr>
        <w:t xml:space="preserve"> is responsible for paying the </w:t>
      </w:r>
      <w:r w:rsidR="00E40EF1" w:rsidRPr="00F93FE0">
        <w:rPr>
          <w:rFonts w:eastAsia="Arial" w:cstheme="minorHAnsi"/>
          <w:bCs/>
          <w:sz w:val="20"/>
          <w:szCs w:val="20"/>
        </w:rPr>
        <w:t xml:space="preserve">worker and for the payment of all </w:t>
      </w:r>
      <w:r w:rsidR="00B85825" w:rsidRPr="00F93FE0">
        <w:rPr>
          <w:rFonts w:eastAsia="Arial" w:cstheme="minorHAnsi"/>
          <w:bCs/>
          <w:sz w:val="20"/>
          <w:szCs w:val="20"/>
        </w:rPr>
        <w:t xml:space="preserve">associated </w:t>
      </w:r>
      <w:r w:rsidR="00E40EF1" w:rsidRPr="00F93FE0">
        <w:rPr>
          <w:rFonts w:eastAsia="Arial" w:cstheme="minorHAnsi"/>
          <w:bCs/>
          <w:sz w:val="20"/>
          <w:szCs w:val="20"/>
        </w:rPr>
        <w:t xml:space="preserve">costs including PAYE, National Insurance, holiday pay </w:t>
      </w:r>
      <w:r w:rsidR="00B85825" w:rsidRPr="00F93FE0">
        <w:rPr>
          <w:rFonts w:eastAsia="Arial" w:cstheme="minorHAnsi"/>
          <w:bCs/>
          <w:sz w:val="20"/>
          <w:szCs w:val="20"/>
        </w:rPr>
        <w:t>etc.</w:t>
      </w:r>
    </w:p>
    <w:p w14:paraId="6B026CB1" w14:textId="77777777" w:rsidR="0041349B" w:rsidRPr="00F93FE0" w:rsidRDefault="0041349B" w:rsidP="0041349B">
      <w:pPr>
        <w:pStyle w:val="NoSpacing"/>
        <w:tabs>
          <w:tab w:val="center" w:pos="4510"/>
          <w:tab w:val="left" w:pos="7889"/>
        </w:tabs>
        <w:rPr>
          <w:rFonts w:eastAsia="Arial" w:cstheme="minorHAnsi"/>
          <w:bCs/>
          <w:sz w:val="20"/>
          <w:szCs w:val="20"/>
        </w:rPr>
      </w:pPr>
    </w:p>
    <w:p w14:paraId="5710B132" w14:textId="529B3712" w:rsidR="0041349B" w:rsidRPr="00F93FE0" w:rsidRDefault="001E7CCE" w:rsidP="0041349B">
      <w:pPr>
        <w:pStyle w:val="NoSpacing"/>
        <w:rPr>
          <w:rFonts w:eastAsia="Arial" w:cstheme="minorHAnsi"/>
          <w:iCs/>
          <w:sz w:val="20"/>
          <w:szCs w:val="20"/>
        </w:rPr>
      </w:pPr>
      <w:r w:rsidRPr="00F93FE0">
        <w:rPr>
          <w:rFonts w:eastAsia="Arial" w:cstheme="minorHAnsi"/>
          <w:iCs/>
          <w:sz w:val="20"/>
          <w:szCs w:val="20"/>
        </w:rPr>
        <w:t xml:space="preserve">The Employment Agency Standards (EAS) Inspectorate is the government authority responsible for the enforcement of certain agency worker rights. You can raise a concern with them directly on </w:t>
      </w:r>
      <w:r w:rsidR="00C12BE7">
        <w:rPr>
          <w:rFonts w:eastAsia="Arial" w:cstheme="minorHAnsi"/>
          <w:sz w:val="20"/>
          <w:szCs w:val="18"/>
        </w:rPr>
        <w:t>020 4566 5333</w:t>
      </w:r>
      <w:r w:rsidR="00C12BE7" w:rsidRPr="00455F6F">
        <w:rPr>
          <w:rFonts w:eastAsia="Arial" w:cstheme="minorHAnsi"/>
          <w:sz w:val="20"/>
          <w:szCs w:val="18"/>
        </w:rPr>
        <w:t xml:space="preserve"> </w:t>
      </w:r>
      <w:bookmarkStart w:id="0" w:name="_GoBack"/>
      <w:bookmarkEnd w:id="0"/>
      <w:r w:rsidRPr="00F93FE0">
        <w:rPr>
          <w:rFonts w:eastAsia="Arial" w:cstheme="minorHAnsi"/>
          <w:iCs/>
          <w:sz w:val="20"/>
          <w:szCs w:val="20"/>
        </w:rPr>
        <w:t>or through the A</w:t>
      </w:r>
      <w:r w:rsidR="00B85825" w:rsidRPr="00F93FE0">
        <w:rPr>
          <w:rFonts w:eastAsia="Arial" w:cstheme="minorHAnsi"/>
          <w:iCs/>
          <w:sz w:val="20"/>
          <w:szCs w:val="20"/>
        </w:rPr>
        <w:t>CAS</w:t>
      </w:r>
      <w:r w:rsidRPr="00F93FE0">
        <w:rPr>
          <w:rFonts w:eastAsia="Arial" w:cstheme="minorHAnsi"/>
          <w:iCs/>
          <w:sz w:val="20"/>
          <w:szCs w:val="20"/>
        </w:rPr>
        <w:t xml:space="preserve"> helpline on 0300 123 1100, Monday to Friday, 8am to 6pm.</w:t>
      </w:r>
    </w:p>
    <w:p w14:paraId="0FC4F7E7" w14:textId="587D1F58" w:rsidR="350F4DFD" w:rsidRPr="00F93FE0" w:rsidRDefault="350F4DFD" w:rsidP="350F4DFD">
      <w:pPr>
        <w:rPr>
          <w:rFonts w:eastAsia="Arial" w:cstheme="minorHAnsi"/>
          <w:b/>
          <w:bCs/>
          <w:sz w:val="20"/>
          <w:szCs w:val="20"/>
        </w:rPr>
      </w:pPr>
    </w:p>
    <w:p w14:paraId="253C5A6C" w14:textId="689859C1" w:rsidR="350F4DFD" w:rsidRPr="00F93FE0" w:rsidRDefault="005568A3" w:rsidP="350F4DFD">
      <w:pPr>
        <w:jc w:val="center"/>
        <w:rPr>
          <w:rFonts w:eastAsia="Arial" w:cstheme="minorHAnsi"/>
          <w:sz w:val="20"/>
          <w:szCs w:val="20"/>
        </w:rPr>
      </w:pPr>
      <w:r w:rsidRPr="00F93FE0">
        <w:rPr>
          <w:rFonts w:eastAsia="Arial" w:cstheme="minorHAnsi"/>
          <w:b/>
          <w:bCs/>
          <w:sz w:val="20"/>
          <w:szCs w:val="20"/>
        </w:rPr>
        <w:t>General Information</w:t>
      </w:r>
    </w:p>
    <w:p w14:paraId="64278F0F" w14:textId="78A821CB" w:rsidR="350F4DFD" w:rsidRPr="00F93FE0" w:rsidRDefault="350F4DFD" w:rsidP="350F4DFD">
      <w:pPr>
        <w:jc w:val="center"/>
        <w:rPr>
          <w:rFonts w:eastAsia="Arial" w:cstheme="minorHAnsi"/>
          <w:sz w:val="20"/>
          <w:szCs w:val="20"/>
        </w:rPr>
      </w:pPr>
    </w:p>
    <w:tbl>
      <w:tblPr>
        <w:tblStyle w:val="TableGrid"/>
        <w:tblW w:w="9020" w:type="dxa"/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0033184A" w:rsidRPr="00F93FE0" w14:paraId="28CF7D47" w14:textId="77777777" w:rsidTr="0033184A">
        <w:tc>
          <w:tcPr>
            <w:tcW w:w="4510" w:type="dxa"/>
          </w:tcPr>
          <w:p w14:paraId="1941B7C9" w14:textId="471092F1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Name of employment business:</w:t>
            </w:r>
          </w:p>
        </w:tc>
        <w:tc>
          <w:tcPr>
            <w:tcW w:w="4510" w:type="dxa"/>
          </w:tcPr>
          <w:p w14:paraId="42FFC6F7" w14:textId="5481742D" w:rsidR="0033184A" w:rsidRPr="00F93FE0" w:rsidRDefault="0033184A" w:rsidP="350F4DFD">
            <w:pPr>
              <w:rPr>
                <w:rFonts w:eastAsia="Calibri" w:cstheme="minorHAnsi"/>
                <w:sz w:val="20"/>
                <w:szCs w:val="20"/>
              </w:rPr>
            </w:pPr>
            <w:r w:rsidRPr="00F93FE0">
              <w:rPr>
                <w:rFonts w:eastAsia="Calibri" w:cstheme="minorHAnsi"/>
                <w:sz w:val="20"/>
                <w:szCs w:val="20"/>
              </w:rPr>
              <w:t>First Technical Recruitment Limited</w:t>
            </w:r>
          </w:p>
        </w:tc>
      </w:tr>
      <w:tr w:rsidR="0033184A" w:rsidRPr="00F93FE0" w14:paraId="4104C023" w14:textId="77777777" w:rsidTr="0033184A">
        <w:tc>
          <w:tcPr>
            <w:tcW w:w="4510" w:type="dxa"/>
          </w:tcPr>
          <w:p w14:paraId="77EA7EDE" w14:textId="15C6C030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Type of contract you will be engaged under:</w:t>
            </w:r>
          </w:p>
        </w:tc>
        <w:tc>
          <w:tcPr>
            <w:tcW w:w="4510" w:type="dxa"/>
          </w:tcPr>
          <w:p w14:paraId="1D7E9402" w14:textId="36C29CDC" w:rsidR="0033184A" w:rsidRPr="00F93FE0" w:rsidRDefault="0033184A" w:rsidP="350F4DFD">
            <w:pPr>
              <w:rPr>
                <w:rFonts w:eastAsia="Calibri" w:cstheme="minorHAnsi"/>
                <w:sz w:val="20"/>
                <w:szCs w:val="20"/>
              </w:rPr>
            </w:pPr>
            <w:r w:rsidRPr="00F93FE0">
              <w:rPr>
                <w:rFonts w:eastAsia="Calibri" w:cstheme="minorHAnsi"/>
                <w:sz w:val="20"/>
                <w:szCs w:val="20"/>
              </w:rPr>
              <w:t>Contract for Services</w:t>
            </w:r>
          </w:p>
        </w:tc>
      </w:tr>
      <w:tr w:rsidR="0033184A" w:rsidRPr="00F93FE0" w14:paraId="0372B5D6" w14:textId="77777777" w:rsidTr="0033184A">
        <w:tc>
          <w:tcPr>
            <w:tcW w:w="4510" w:type="dxa"/>
          </w:tcPr>
          <w:p w14:paraId="1B0EC6D7" w14:textId="7DEE2A0F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Who will be responsible for paying you (if different from your employer):</w:t>
            </w:r>
          </w:p>
        </w:tc>
        <w:tc>
          <w:tcPr>
            <w:tcW w:w="4510" w:type="dxa"/>
          </w:tcPr>
          <w:p w14:paraId="40831266" w14:textId="55D0AA67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Calibri" w:cstheme="minorHAnsi"/>
                <w:sz w:val="20"/>
                <w:szCs w:val="20"/>
              </w:rPr>
              <w:t>First Technical Recruitment Limited</w:t>
            </w:r>
          </w:p>
        </w:tc>
      </w:tr>
      <w:tr w:rsidR="0033184A" w:rsidRPr="00F93FE0" w14:paraId="186F99B5" w14:textId="77777777" w:rsidTr="0033184A">
        <w:tc>
          <w:tcPr>
            <w:tcW w:w="4510" w:type="dxa"/>
          </w:tcPr>
          <w:p w14:paraId="3D3EDFDA" w14:textId="3DA05A46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How often you will be paid:</w:t>
            </w:r>
          </w:p>
        </w:tc>
        <w:tc>
          <w:tcPr>
            <w:tcW w:w="4510" w:type="dxa"/>
          </w:tcPr>
          <w:p w14:paraId="4F6DE35E" w14:textId="6A66D025" w:rsidR="0033184A" w:rsidRPr="00F93FE0" w:rsidRDefault="00AE1C30" w:rsidP="00AE1C30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Dependent upon the assignment or project, w</w:t>
            </w:r>
            <w:r w:rsidR="0033184A" w:rsidRPr="00F93FE0">
              <w:rPr>
                <w:rFonts w:eastAsia="Arial" w:cstheme="minorHAnsi"/>
                <w:sz w:val="20"/>
                <w:szCs w:val="20"/>
              </w:rPr>
              <w:t>eekly</w:t>
            </w:r>
            <w:r w:rsidRPr="00F93FE0">
              <w:rPr>
                <w:rFonts w:eastAsia="Arial" w:cstheme="minorHAnsi"/>
                <w:sz w:val="20"/>
                <w:szCs w:val="20"/>
              </w:rPr>
              <w:t>, monthly or as agreed.</w:t>
            </w:r>
          </w:p>
        </w:tc>
      </w:tr>
      <w:tr w:rsidR="0033184A" w:rsidRPr="00F93FE0" w14:paraId="53EAD992" w14:textId="77777777" w:rsidTr="0033184A">
        <w:tc>
          <w:tcPr>
            <w:tcW w:w="4510" w:type="dxa"/>
          </w:tcPr>
          <w:p w14:paraId="0C949352" w14:textId="56B47824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Expected or minimum rate of pay:</w:t>
            </w:r>
          </w:p>
        </w:tc>
        <w:tc>
          <w:tcPr>
            <w:tcW w:w="4510" w:type="dxa"/>
          </w:tcPr>
          <w:p w14:paraId="45A83CAE" w14:textId="618C4BBE" w:rsidR="0033184A" w:rsidRPr="00F93FE0" w:rsidRDefault="0033184A" w:rsidP="00B85825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 xml:space="preserve">No less than </w:t>
            </w:r>
            <w:r w:rsidR="00B85825" w:rsidRPr="00F93FE0">
              <w:rPr>
                <w:rFonts w:eastAsia="Arial" w:cstheme="minorHAnsi"/>
                <w:sz w:val="20"/>
                <w:szCs w:val="20"/>
              </w:rPr>
              <w:t>national minimum wage</w:t>
            </w:r>
          </w:p>
        </w:tc>
      </w:tr>
      <w:tr w:rsidR="0033184A" w:rsidRPr="00F93FE0" w14:paraId="59FF9725" w14:textId="77777777" w:rsidTr="0033184A">
        <w:tc>
          <w:tcPr>
            <w:tcW w:w="4510" w:type="dxa"/>
          </w:tcPr>
          <w:p w14:paraId="66A68377" w14:textId="7E96A3CE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Deductions from your pay required by law:</w:t>
            </w:r>
          </w:p>
        </w:tc>
        <w:tc>
          <w:tcPr>
            <w:tcW w:w="4510" w:type="dxa"/>
          </w:tcPr>
          <w:p w14:paraId="472E4958" w14:textId="5BC5E3F4" w:rsidR="0033184A" w:rsidRPr="00F93FE0" w:rsidRDefault="00B85825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T</w:t>
            </w:r>
            <w:r w:rsidR="0033184A" w:rsidRPr="00F93FE0">
              <w:rPr>
                <w:rFonts w:eastAsia="Arial" w:cstheme="minorHAnsi"/>
                <w:sz w:val="20"/>
                <w:szCs w:val="20"/>
              </w:rPr>
              <w:t>he PSC will receive gross payments</w:t>
            </w:r>
          </w:p>
        </w:tc>
      </w:tr>
      <w:tr w:rsidR="0033184A" w:rsidRPr="00F93FE0" w14:paraId="080FDB4F" w14:textId="77777777" w:rsidTr="0033184A">
        <w:tc>
          <w:tcPr>
            <w:tcW w:w="4510" w:type="dxa"/>
          </w:tcPr>
          <w:p w14:paraId="17F10EC5" w14:textId="3634F572" w:rsidR="0033184A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Holiday entitlement and pay:</w:t>
            </w:r>
          </w:p>
        </w:tc>
        <w:tc>
          <w:tcPr>
            <w:tcW w:w="4510" w:type="dxa"/>
          </w:tcPr>
          <w:p w14:paraId="5DF2001C" w14:textId="37E39A9A" w:rsidR="0033184A" w:rsidRPr="00F93FE0" w:rsidRDefault="00B85825" w:rsidP="00B85825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Calibri" w:cstheme="minorHAnsi"/>
                <w:sz w:val="20"/>
                <w:szCs w:val="20"/>
              </w:rPr>
              <w:t>I</w:t>
            </w:r>
            <w:r w:rsidR="0033184A" w:rsidRPr="00F93FE0">
              <w:rPr>
                <w:rFonts w:eastAsia="Calibri" w:cstheme="minorHAnsi"/>
                <w:sz w:val="20"/>
                <w:szCs w:val="20"/>
              </w:rPr>
              <w:t xml:space="preserve">t is the responsibility of the PSC to provide this to the </w:t>
            </w:r>
            <w:r w:rsidRPr="00F93FE0">
              <w:rPr>
                <w:rFonts w:eastAsia="Calibri" w:cstheme="minorHAnsi"/>
                <w:sz w:val="20"/>
                <w:szCs w:val="20"/>
              </w:rPr>
              <w:t>worker</w:t>
            </w:r>
          </w:p>
        </w:tc>
      </w:tr>
    </w:tbl>
    <w:p w14:paraId="57DFC7A0" w14:textId="42DBB074" w:rsidR="350F4DFD" w:rsidRPr="00F93FE0" w:rsidRDefault="350F4DFD" w:rsidP="350F4DFD">
      <w:pPr>
        <w:jc w:val="center"/>
        <w:rPr>
          <w:rFonts w:eastAsia="Arial" w:cstheme="minorHAnsi"/>
          <w:b/>
          <w:bCs/>
          <w:sz w:val="20"/>
          <w:szCs w:val="20"/>
        </w:rPr>
      </w:pPr>
    </w:p>
    <w:p w14:paraId="49627FEF" w14:textId="321918D3" w:rsidR="350F4DFD" w:rsidRPr="00F93FE0" w:rsidRDefault="005568A3" w:rsidP="350F4DFD">
      <w:pPr>
        <w:jc w:val="center"/>
        <w:rPr>
          <w:rFonts w:eastAsia="Arial" w:cstheme="minorHAnsi"/>
          <w:sz w:val="20"/>
          <w:szCs w:val="20"/>
        </w:rPr>
      </w:pPr>
      <w:r w:rsidRPr="00F93FE0">
        <w:rPr>
          <w:rFonts w:eastAsia="Arial" w:cstheme="minorHAnsi"/>
          <w:b/>
          <w:bCs/>
          <w:sz w:val="20"/>
          <w:szCs w:val="20"/>
        </w:rPr>
        <w:t>Example Pay</w:t>
      </w:r>
    </w:p>
    <w:p w14:paraId="30E36E57" w14:textId="680618BB" w:rsidR="350F4DFD" w:rsidRPr="00F93FE0" w:rsidRDefault="350F4DFD" w:rsidP="350F4DFD">
      <w:pPr>
        <w:jc w:val="center"/>
        <w:rPr>
          <w:rFonts w:eastAsia="Arial" w:cstheme="min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350F4DFD" w:rsidRPr="00F93FE0" w14:paraId="7B4A2803" w14:textId="77777777" w:rsidTr="350F4DFD">
        <w:tc>
          <w:tcPr>
            <w:tcW w:w="4510" w:type="dxa"/>
          </w:tcPr>
          <w:p w14:paraId="23791537" w14:textId="594B5566" w:rsidR="350F4DFD" w:rsidRPr="00F93FE0" w:rsidRDefault="350F4DFD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Example rate of pay:</w:t>
            </w:r>
          </w:p>
        </w:tc>
        <w:tc>
          <w:tcPr>
            <w:tcW w:w="4510" w:type="dxa"/>
          </w:tcPr>
          <w:p w14:paraId="02F3B7A8" w14:textId="493D2456" w:rsidR="350F4DFD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£1,000.00 per week</w:t>
            </w:r>
          </w:p>
        </w:tc>
      </w:tr>
      <w:tr w:rsidR="350F4DFD" w:rsidRPr="00F93FE0" w14:paraId="3219FD43" w14:textId="77777777" w:rsidTr="350F4DFD">
        <w:tc>
          <w:tcPr>
            <w:tcW w:w="4510" w:type="dxa"/>
          </w:tcPr>
          <w:p w14:paraId="49AB5C25" w14:textId="493E2377" w:rsidR="350F4DFD" w:rsidRPr="00F93FE0" w:rsidRDefault="350F4DFD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Deductions from your wage required by law:</w:t>
            </w:r>
          </w:p>
        </w:tc>
        <w:tc>
          <w:tcPr>
            <w:tcW w:w="4510" w:type="dxa"/>
          </w:tcPr>
          <w:p w14:paraId="28D9A1BE" w14:textId="4803EDAB" w:rsidR="350F4DFD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£0.00</w:t>
            </w:r>
          </w:p>
        </w:tc>
      </w:tr>
      <w:tr w:rsidR="350F4DFD" w:rsidRPr="00F93FE0" w14:paraId="3233CAF7" w14:textId="77777777" w:rsidTr="350F4DFD">
        <w:tc>
          <w:tcPr>
            <w:tcW w:w="4510" w:type="dxa"/>
          </w:tcPr>
          <w:p w14:paraId="5C233457" w14:textId="01F24D75" w:rsidR="350F4DFD" w:rsidRPr="00F93FE0" w:rsidRDefault="350F4DFD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Any other deductions or costs from your wage:</w:t>
            </w:r>
          </w:p>
        </w:tc>
        <w:tc>
          <w:tcPr>
            <w:tcW w:w="4510" w:type="dxa"/>
          </w:tcPr>
          <w:p w14:paraId="17EC393B" w14:textId="73468C7E" w:rsidR="350F4DFD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£0.00</w:t>
            </w:r>
          </w:p>
        </w:tc>
      </w:tr>
      <w:tr w:rsidR="350F4DFD" w:rsidRPr="00F93FE0" w14:paraId="6E327ADC" w14:textId="77777777" w:rsidTr="350F4DFD">
        <w:tc>
          <w:tcPr>
            <w:tcW w:w="4510" w:type="dxa"/>
          </w:tcPr>
          <w:p w14:paraId="32E77B52" w14:textId="5CA077FB" w:rsidR="350F4DFD" w:rsidRPr="00F93FE0" w:rsidRDefault="350F4DFD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Any fees for goods or services:</w:t>
            </w:r>
          </w:p>
        </w:tc>
        <w:tc>
          <w:tcPr>
            <w:tcW w:w="4510" w:type="dxa"/>
          </w:tcPr>
          <w:p w14:paraId="27863C71" w14:textId="3A71AE39" w:rsidR="350F4DFD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£0.00</w:t>
            </w:r>
          </w:p>
        </w:tc>
      </w:tr>
      <w:tr w:rsidR="350F4DFD" w:rsidRPr="00F93FE0" w14:paraId="6EEE2B66" w14:textId="77777777" w:rsidTr="350F4DFD">
        <w:tc>
          <w:tcPr>
            <w:tcW w:w="4510" w:type="dxa"/>
          </w:tcPr>
          <w:p w14:paraId="4093A76B" w14:textId="0C5932A5" w:rsidR="350F4DFD" w:rsidRPr="00F93FE0" w:rsidRDefault="350F4DFD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b/>
                <w:bCs/>
                <w:sz w:val="20"/>
                <w:szCs w:val="20"/>
              </w:rPr>
              <w:t>Example net take home pay:</w:t>
            </w:r>
          </w:p>
        </w:tc>
        <w:tc>
          <w:tcPr>
            <w:tcW w:w="4510" w:type="dxa"/>
          </w:tcPr>
          <w:p w14:paraId="7D2B27C3" w14:textId="4200B853" w:rsidR="350F4DFD" w:rsidRPr="00F93FE0" w:rsidRDefault="0033184A" w:rsidP="350F4DFD">
            <w:pPr>
              <w:rPr>
                <w:rFonts w:eastAsia="Arial" w:cstheme="minorHAnsi"/>
                <w:sz w:val="20"/>
                <w:szCs w:val="20"/>
              </w:rPr>
            </w:pPr>
            <w:r w:rsidRPr="00F93FE0">
              <w:rPr>
                <w:rFonts w:eastAsia="Arial" w:cstheme="minorHAnsi"/>
                <w:sz w:val="20"/>
                <w:szCs w:val="20"/>
              </w:rPr>
              <w:t>£1,000.00</w:t>
            </w:r>
          </w:p>
        </w:tc>
      </w:tr>
    </w:tbl>
    <w:p w14:paraId="7997779E" w14:textId="136E7249" w:rsidR="350F4DFD" w:rsidRPr="00F93FE0" w:rsidRDefault="350F4DFD" w:rsidP="350F4DFD">
      <w:pPr>
        <w:rPr>
          <w:rFonts w:eastAsia="Arial" w:cstheme="minorHAnsi"/>
          <w:sz w:val="20"/>
          <w:szCs w:val="20"/>
        </w:rPr>
      </w:pPr>
    </w:p>
    <w:p w14:paraId="1CB5105E" w14:textId="2CEE0049" w:rsidR="350F4DFD" w:rsidRPr="00F93FE0" w:rsidRDefault="350F4DFD" w:rsidP="350F4DFD">
      <w:pPr>
        <w:rPr>
          <w:rFonts w:cstheme="minorHAnsi"/>
          <w:sz w:val="20"/>
          <w:szCs w:val="20"/>
        </w:rPr>
      </w:pPr>
    </w:p>
    <w:p w14:paraId="54A6BA27" w14:textId="5556BF59" w:rsidR="00855920" w:rsidRPr="00F93FE0" w:rsidRDefault="00F93FE0" w:rsidP="00855920">
      <w:pPr>
        <w:tabs>
          <w:tab w:val="left" w:pos="3416"/>
        </w:tabs>
        <w:jc w:val="center"/>
        <w:rPr>
          <w:rFonts w:cstheme="minorHAnsi"/>
          <w:b/>
          <w:sz w:val="20"/>
          <w:szCs w:val="20"/>
        </w:rPr>
      </w:pPr>
      <w:r w:rsidRPr="00F93FE0">
        <w:rPr>
          <w:rFonts w:cstheme="minorHAnsi"/>
          <w:b/>
          <w:sz w:val="20"/>
          <w:szCs w:val="20"/>
        </w:rPr>
        <w:t>Engaging as a</w:t>
      </w:r>
      <w:r w:rsidR="00855920" w:rsidRPr="00F93FE0">
        <w:rPr>
          <w:rFonts w:cstheme="minorHAnsi"/>
          <w:b/>
          <w:sz w:val="20"/>
          <w:szCs w:val="20"/>
        </w:rPr>
        <w:t xml:space="preserve"> P</w:t>
      </w:r>
      <w:r w:rsidRPr="00F93FE0">
        <w:rPr>
          <w:rFonts w:cstheme="minorHAnsi"/>
          <w:b/>
          <w:sz w:val="20"/>
          <w:szCs w:val="20"/>
        </w:rPr>
        <w:t>ersonal</w:t>
      </w:r>
      <w:r w:rsidR="00855920" w:rsidRPr="00F93FE0">
        <w:rPr>
          <w:rFonts w:cstheme="minorHAnsi"/>
          <w:b/>
          <w:sz w:val="20"/>
          <w:szCs w:val="20"/>
        </w:rPr>
        <w:t xml:space="preserve"> S</w:t>
      </w:r>
      <w:r w:rsidRPr="00F93FE0">
        <w:rPr>
          <w:rFonts w:cstheme="minorHAnsi"/>
          <w:b/>
          <w:sz w:val="20"/>
          <w:szCs w:val="20"/>
        </w:rPr>
        <w:t>ervice Company</w:t>
      </w:r>
    </w:p>
    <w:p w14:paraId="1B404CB4" w14:textId="77777777" w:rsidR="00855920" w:rsidRPr="00F93FE0" w:rsidRDefault="00855920" w:rsidP="00855920">
      <w:pPr>
        <w:tabs>
          <w:tab w:val="left" w:pos="3416"/>
        </w:tabs>
        <w:rPr>
          <w:rFonts w:cstheme="minorHAnsi"/>
          <w:sz w:val="20"/>
          <w:szCs w:val="20"/>
        </w:rPr>
      </w:pPr>
    </w:p>
    <w:p w14:paraId="537EB401" w14:textId="45010FA9" w:rsidR="00855920" w:rsidRPr="00F93FE0" w:rsidRDefault="00AE1C30" w:rsidP="00855920">
      <w:pPr>
        <w:tabs>
          <w:tab w:val="left" w:pos="3416"/>
        </w:tabs>
        <w:rPr>
          <w:rFonts w:cstheme="minorHAnsi"/>
          <w:sz w:val="20"/>
          <w:szCs w:val="20"/>
        </w:rPr>
      </w:pPr>
      <w:r w:rsidRPr="00F93FE0">
        <w:rPr>
          <w:rFonts w:cstheme="minorHAnsi"/>
          <w:sz w:val="20"/>
          <w:szCs w:val="20"/>
        </w:rPr>
        <w:t>I</w:t>
      </w:r>
      <w:r w:rsidR="2B94D2FF" w:rsidRPr="00F93FE0">
        <w:rPr>
          <w:rFonts w:cstheme="minorHAnsi"/>
          <w:sz w:val="20"/>
          <w:szCs w:val="20"/>
        </w:rPr>
        <w:t xml:space="preserve">f you engage as a </w:t>
      </w:r>
      <w:r w:rsidR="00F93FE0" w:rsidRPr="00F93FE0">
        <w:rPr>
          <w:rFonts w:cstheme="minorHAnsi"/>
          <w:sz w:val="20"/>
          <w:szCs w:val="20"/>
        </w:rPr>
        <w:t>PSC</w:t>
      </w:r>
      <w:r w:rsidRPr="00F93FE0">
        <w:rPr>
          <w:rFonts w:cstheme="minorHAnsi"/>
          <w:sz w:val="20"/>
          <w:szCs w:val="20"/>
        </w:rPr>
        <w:t xml:space="preserve"> via</w:t>
      </w:r>
      <w:r w:rsidR="2B94D2FF" w:rsidRPr="00F93FE0">
        <w:rPr>
          <w:rFonts w:cstheme="minorHAnsi"/>
          <w:sz w:val="20"/>
          <w:szCs w:val="20"/>
        </w:rPr>
        <w:t xml:space="preserve"> an employment </w:t>
      </w:r>
      <w:r w:rsidRPr="00F93FE0">
        <w:rPr>
          <w:rFonts w:cstheme="minorHAnsi"/>
          <w:sz w:val="20"/>
          <w:szCs w:val="20"/>
        </w:rPr>
        <w:t>agency</w:t>
      </w:r>
      <w:r w:rsidR="2B94D2FF" w:rsidRPr="00F93FE0">
        <w:rPr>
          <w:rFonts w:cstheme="minorHAnsi"/>
          <w:sz w:val="20"/>
          <w:szCs w:val="20"/>
        </w:rPr>
        <w:t xml:space="preserve">, then you can opt out of being covered by the </w:t>
      </w:r>
      <w:r w:rsidRPr="00F93FE0">
        <w:rPr>
          <w:rFonts w:cstheme="minorHAnsi"/>
          <w:sz w:val="20"/>
          <w:szCs w:val="20"/>
        </w:rPr>
        <w:t>C</w:t>
      </w:r>
      <w:r w:rsidR="2B94D2FF" w:rsidRPr="00F93FE0">
        <w:rPr>
          <w:rFonts w:cstheme="minorHAnsi"/>
          <w:sz w:val="20"/>
          <w:szCs w:val="20"/>
        </w:rPr>
        <w:t xml:space="preserve">onduct </w:t>
      </w:r>
      <w:r w:rsidRPr="00F93FE0">
        <w:rPr>
          <w:rFonts w:cstheme="minorHAnsi"/>
          <w:sz w:val="20"/>
          <w:szCs w:val="20"/>
        </w:rPr>
        <w:t>R</w:t>
      </w:r>
      <w:r w:rsidR="2B94D2FF" w:rsidRPr="00F93FE0">
        <w:rPr>
          <w:rFonts w:cstheme="minorHAnsi"/>
          <w:sz w:val="20"/>
          <w:szCs w:val="20"/>
        </w:rPr>
        <w:t xml:space="preserve">egulations. </w:t>
      </w:r>
      <w:r w:rsidR="350F4DFD" w:rsidRPr="00F93FE0">
        <w:rPr>
          <w:rFonts w:cstheme="minorHAnsi"/>
          <w:sz w:val="20"/>
          <w:szCs w:val="20"/>
        </w:rPr>
        <w:t>The opt</w:t>
      </w:r>
      <w:r w:rsidR="002A2AB0">
        <w:rPr>
          <w:rFonts w:cstheme="minorHAnsi"/>
          <w:sz w:val="20"/>
          <w:szCs w:val="20"/>
        </w:rPr>
        <w:t>-</w:t>
      </w:r>
      <w:r w:rsidR="350F4DFD" w:rsidRPr="00F93FE0">
        <w:rPr>
          <w:rFonts w:cstheme="minorHAnsi"/>
          <w:sz w:val="20"/>
          <w:szCs w:val="20"/>
        </w:rPr>
        <w:t xml:space="preserve">out must be given in writing to the employment </w:t>
      </w:r>
      <w:r w:rsidRPr="00F93FE0">
        <w:rPr>
          <w:rFonts w:cstheme="minorHAnsi"/>
          <w:sz w:val="20"/>
          <w:szCs w:val="20"/>
        </w:rPr>
        <w:t xml:space="preserve">agency </w:t>
      </w:r>
      <w:r w:rsidR="350F4DFD" w:rsidRPr="00F93FE0">
        <w:rPr>
          <w:rFonts w:cstheme="minorHAnsi"/>
          <w:sz w:val="20"/>
          <w:szCs w:val="20"/>
        </w:rPr>
        <w:t xml:space="preserve">by both the PSC and the </w:t>
      </w:r>
      <w:r w:rsidRPr="00F93FE0">
        <w:rPr>
          <w:rFonts w:cstheme="minorHAnsi"/>
          <w:sz w:val="20"/>
          <w:szCs w:val="20"/>
        </w:rPr>
        <w:t>worker</w:t>
      </w:r>
      <w:r w:rsidR="350F4DFD" w:rsidRPr="00F93FE0">
        <w:rPr>
          <w:rFonts w:cstheme="minorHAnsi"/>
          <w:sz w:val="20"/>
          <w:szCs w:val="20"/>
        </w:rPr>
        <w:t xml:space="preserve"> being supplied to do the work. The employment </w:t>
      </w:r>
      <w:r w:rsidRPr="00F93FE0">
        <w:rPr>
          <w:rFonts w:cstheme="minorHAnsi"/>
          <w:sz w:val="20"/>
          <w:szCs w:val="20"/>
        </w:rPr>
        <w:t>agency</w:t>
      </w:r>
      <w:r w:rsidR="350F4DFD" w:rsidRPr="00F93FE0">
        <w:rPr>
          <w:rFonts w:cstheme="minorHAnsi"/>
          <w:sz w:val="20"/>
          <w:szCs w:val="20"/>
        </w:rPr>
        <w:t xml:space="preserve"> cannot encourage you to do this and it must be your own decision.</w:t>
      </w:r>
      <w:r w:rsidR="00F93FE0" w:rsidRPr="00F93FE0">
        <w:rPr>
          <w:rFonts w:cstheme="minorHAnsi"/>
          <w:sz w:val="20"/>
          <w:szCs w:val="20"/>
        </w:rPr>
        <w:t xml:space="preserve"> </w:t>
      </w:r>
      <w:r w:rsidR="350F4DFD" w:rsidRPr="00F93FE0">
        <w:rPr>
          <w:rFonts w:eastAsia="Arial" w:cstheme="minorHAnsi"/>
          <w:sz w:val="20"/>
          <w:szCs w:val="20"/>
        </w:rPr>
        <w:t>Agency workers placed in roles working with, or caring for, vulnerable persons cannot opt out of the Conduct Regulations.</w:t>
      </w:r>
      <w:r w:rsidR="005568A3">
        <w:rPr>
          <w:rFonts w:eastAsia="Arial" w:cstheme="minorHAnsi"/>
          <w:sz w:val="20"/>
          <w:szCs w:val="20"/>
        </w:rPr>
        <w:t xml:space="preserve"> </w:t>
      </w:r>
      <w:r w:rsidR="00855920" w:rsidRPr="00F93FE0">
        <w:rPr>
          <w:rFonts w:cstheme="minorHAnsi"/>
          <w:sz w:val="20"/>
          <w:szCs w:val="20"/>
        </w:rPr>
        <w:t xml:space="preserve">This document is for information only and does not qualify as an agreement for opting out of the </w:t>
      </w:r>
      <w:r w:rsidR="00F93FE0" w:rsidRPr="00F93FE0">
        <w:rPr>
          <w:rFonts w:cstheme="minorHAnsi"/>
          <w:sz w:val="20"/>
          <w:szCs w:val="20"/>
        </w:rPr>
        <w:t>Conduct R</w:t>
      </w:r>
      <w:r w:rsidR="00855920" w:rsidRPr="00F93FE0">
        <w:rPr>
          <w:rFonts w:cstheme="minorHAnsi"/>
          <w:sz w:val="20"/>
          <w:szCs w:val="20"/>
        </w:rPr>
        <w:t>egulations.</w:t>
      </w:r>
    </w:p>
    <w:p w14:paraId="75157E99" w14:textId="77777777" w:rsidR="00855920" w:rsidRPr="00F93FE0" w:rsidRDefault="00855920" w:rsidP="003362CB">
      <w:pPr>
        <w:tabs>
          <w:tab w:val="left" w:pos="3416"/>
        </w:tabs>
        <w:rPr>
          <w:rFonts w:cstheme="minorHAnsi"/>
          <w:sz w:val="20"/>
          <w:szCs w:val="20"/>
        </w:rPr>
      </w:pPr>
    </w:p>
    <w:sectPr w:rsidR="00855920" w:rsidRPr="00F93FE0" w:rsidSect="00D8370B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5F9C0" w14:textId="77777777" w:rsidR="008A7DD8" w:rsidRDefault="008A7DD8" w:rsidP="00B462CC">
      <w:r>
        <w:separator/>
      </w:r>
    </w:p>
  </w:endnote>
  <w:endnote w:type="continuationSeparator" w:id="0">
    <w:p w14:paraId="75309868" w14:textId="77777777" w:rsidR="008A7DD8" w:rsidRDefault="008A7DD8" w:rsidP="00B462CC">
      <w:r>
        <w:continuationSeparator/>
      </w:r>
    </w:p>
  </w:endnote>
  <w:endnote w:type="continuationNotice" w:id="1">
    <w:p w14:paraId="7ED5857F" w14:textId="77777777" w:rsidR="008A7DD8" w:rsidRDefault="008A7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359B0" w14:textId="35A92270" w:rsidR="00634983" w:rsidRDefault="0063498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9AEC58" wp14:editId="76D57960">
          <wp:simplePos x="0" y="0"/>
          <wp:positionH relativeFrom="page">
            <wp:align>left</wp:align>
          </wp:positionH>
          <wp:positionV relativeFrom="paragraph">
            <wp:posOffset>102413</wp:posOffset>
          </wp:positionV>
          <wp:extent cx="7681191" cy="516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st-Document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91" cy="51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1922" w14:textId="77777777" w:rsidR="008A7DD8" w:rsidRDefault="008A7DD8" w:rsidP="00B462CC">
      <w:r>
        <w:separator/>
      </w:r>
    </w:p>
  </w:footnote>
  <w:footnote w:type="continuationSeparator" w:id="0">
    <w:p w14:paraId="5D99BFDA" w14:textId="77777777" w:rsidR="008A7DD8" w:rsidRDefault="008A7DD8" w:rsidP="00B462CC">
      <w:r>
        <w:continuationSeparator/>
      </w:r>
    </w:p>
  </w:footnote>
  <w:footnote w:type="continuationNotice" w:id="1">
    <w:p w14:paraId="3F9ED575" w14:textId="77777777" w:rsidR="008A7DD8" w:rsidRDefault="008A7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C441" w14:textId="004CFDBD" w:rsidR="00634983" w:rsidRDefault="00634983" w:rsidP="50D308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249BE0D" wp14:editId="1246EBE9">
          <wp:simplePos x="0" y="0"/>
          <wp:positionH relativeFrom="margin">
            <wp:posOffset>4685665</wp:posOffset>
          </wp:positionH>
          <wp:positionV relativeFrom="paragraph">
            <wp:posOffset>-2210</wp:posOffset>
          </wp:positionV>
          <wp:extent cx="1280160" cy="6089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30558" w14:textId="052890F0" w:rsidR="008A7DD8" w:rsidRDefault="008A7DD8" w:rsidP="00634983">
    <w:pPr>
      <w:pStyle w:val="Header"/>
      <w:tabs>
        <w:tab w:val="clear" w:pos="4513"/>
        <w:tab w:val="clear" w:pos="9026"/>
        <w:tab w:val="left" w:pos="7350"/>
      </w:tabs>
    </w:pPr>
    <w:r>
      <w:t>Personal Service Company</w:t>
    </w:r>
    <w:r w:rsidR="0063498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84"/>
    <w:rsid w:val="0005310C"/>
    <w:rsid w:val="00061070"/>
    <w:rsid w:val="000702CB"/>
    <w:rsid w:val="00072C05"/>
    <w:rsid w:val="00094066"/>
    <w:rsid w:val="000B1DE5"/>
    <w:rsid w:val="000C1E31"/>
    <w:rsid w:val="001456B3"/>
    <w:rsid w:val="001546C9"/>
    <w:rsid w:val="001926E2"/>
    <w:rsid w:val="001B50A0"/>
    <w:rsid w:val="001E7CCE"/>
    <w:rsid w:val="00225C42"/>
    <w:rsid w:val="00227B14"/>
    <w:rsid w:val="002431A8"/>
    <w:rsid w:val="00264508"/>
    <w:rsid w:val="002A2AB0"/>
    <w:rsid w:val="002A5CEE"/>
    <w:rsid w:val="002A6864"/>
    <w:rsid w:val="002C12F1"/>
    <w:rsid w:val="002C1A38"/>
    <w:rsid w:val="002E6C8C"/>
    <w:rsid w:val="002F583E"/>
    <w:rsid w:val="002F6564"/>
    <w:rsid w:val="00324445"/>
    <w:rsid w:val="0033184A"/>
    <w:rsid w:val="003362CB"/>
    <w:rsid w:val="0033766D"/>
    <w:rsid w:val="00370BCB"/>
    <w:rsid w:val="003B0A45"/>
    <w:rsid w:val="003B5E7F"/>
    <w:rsid w:val="003F5E84"/>
    <w:rsid w:val="00410290"/>
    <w:rsid w:val="0041349B"/>
    <w:rsid w:val="00421FB0"/>
    <w:rsid w:val="00456CBA"/>
    <w:rsid w:val="00494384"/>
    <w:rsid w:val="00496303"/>
    <w:rsid w:val="004A2CA4"/>
    <w:rsid w:val="004A4F3E"/>
    <w:rsid w:val="004F77EA"/>
    <w:rsid w:val="005117A8"/>
    <w:rsid w:val="005568A3"/>
    <w:rsid w:val="00583532"/>
    <w:rsid w:val="005E0440"/>
    <w:rsid w:val="005E5798"/>
    <w:rsid w:val="005E6DBE"/>
    <w:rsid w:val="00634983"/>
    <w:rsid w:val="00644AAD"/>
    <w:rsid w:val="00663FE9"/>
    <w:rsid w:val="006736DF"/>
    <w:rsid w:val="00677C0B"/>
    <w:rsid w:val="0069754B"/>
    <w:rsid w:val="006B4B05"/>
    <w:rsid w:val="006C314B"/>
    <w:rsid w:val="006D78C3"/>
    <w:rsid w:val="00743AD5"/>
    <w:rsid w:val="0076226D"/>
    <w:rsid w:val="00776B80"/>
    <w:rsid w:val="00784D49"/>
    <w:rsid w:val="0079001E"/>
    <w:rsid w:val="007B1A7C"/>
    <w:rsid w:val="007B472C"/>
    <w:rsid w:val="007C79FC"/>
    <w:rsid w:val="00821EC9"/>
    <w:rsid w:val="00840E58"/>
    <w:rsid w:val="008524D5"/>
    <w:rsid w:val="00855920"/>
    <w:rsid w:val="00860B27"/>
    <w:rsid w:val="00860F45"/>
    <w:rsid w:val="008657DD"/>
    <w:rsid w:val="00895DAF"/>
    <w:rsid w:val="008A7DD8"/>
    <w:rsid w:val="008C2179"/>
    <w:rsid w:val="008E3F5F"/>
    <w:rsid w:val="0092743D"/>
    <w:rsid w:val="00933FF8"/>
    <w:rsid w:val="009544F3"/>
    <w:rsid w:val="009674F2"/>
    <w:rsid w:val="0098134B"/>
    <w:rsid w:val="009D02DE"/>
    <w:rsid w:val="00A32A84"/>
    <w:rsid w:val="00A45E3B"/>
    <w:rsid w:val="00A67F37"/>
    <w:rsid w:val="00AB2C92"/>
    <w:rsid w:val="00AB2EDE"/>
    <w:rsid w:val="00AE1C30"/>
    <w:rsid w:val="00AE3BBB"/>
    <w:rsid w:val="00AF5DE4"/>
    <w:rsid w:val="00B04D99"/>
    <w:rsid w:val="00B17636"/>
    <w:rsid w:val="00B210F2"/>
    <w:rsid w:val="00B37018"/>
    <w:rsid w:val="00B462CC"/>
    <w:rsid w:val="00B669B6"/>
    <w:rsid w:val="00B85825"/>
    <w:rsid w:val="00B95D7C"/>
    <w:rsid w:val="00BA572E"/>
    <w:rsid w:val="00BA7B98"/>
    <w:rsid w:val="00BE31CF"/>
    <w:rsid w:val="00C12BE7"/>
    <w:rsid w:val="00C333D3"/>
    <w:rsid w:val="00C4702E"/>
    <w:rsid w:val="00C576A9"/>
    <w:rsid w:val="00C733C7"/>
    <w:rsid w:val="00C9267D"/>
    <w:rsid w:val="00C93B64"/>
    <w:rsid w:val="00CA7F93"/>
    <w:rsid w:val="00CB0B09"/>
    <w:rsid w:val="00CB41F8"/>
    <w:rsid w:val="00CE5433"/>
    <w:rsid w:val="00D017C7"/>
    <w:rsid w:val="00D6642E"/>
    <w:rsid w:val="00D8370B"/>
    <w:rsid w:val="00DA66F5"/>
    <w:rsid w:val="00DC427F"/>
    <w:rsid w:val="00DD74EE"/>
    <w:rsid w:val="00DE37D1"/>
    <w:rsid w:val="00E14A7C"/>
    <w:rsid w:val="00E32350"/>
    <w:rsid w:val="00E40EF1"/>
    <w:rsid w:val="00E45D2E"/>
    <w:rsid w:val="00E54C80"/>
    <w:rsid w:val="00E7753F"/>
    <w:rsid w:val="00E82A34"/>
    <w:rsid w:val="00EB14D4"/>
    <w:rsid w:val="00EE6E0A"/>
    <w:rsid w:val="00F20E0A"/>
    <w:rsid w:val="00F665C8"/>
    <w:rsid w:val="00F7197C"/>
    <w:rsid w:val="00F939CD"/>
    <w:rsid w:val="00F93FE0"/>
    <w:rsid w:val="00F975D2"/>
    <w:rsid w:val="00FC1364"/>
    <w:rsid w:val="00FD0461"/>
    <w:rsid w:val="00FD7DB5"/>
    <w:rsid w:val="00FE67BB"/>
    <w:rsid w:val="0207CD00"/>
    <w:rsid w:val="0EC3F085"/>
    <w:rsid w:val="2B94D2FF"/>
    <w:rsid w:val="350F4DFD"/>
    <w:rsid w:val="4399F166"/>
    <w:rsid w:val="44DD36B0"/>
    <w:rsid w:val="46C7830B"/>
    <w:rsid w:val="50D3081D"/>
    <w:rsid w:val="7C2C77CD"/>
    <w:rsid w:val="7C91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C0F3D"/>
  <w15:chartTrackingRefBased/>
  <w15:docId w15:val="{0E1B85D0-82F2-F54C-AFC1-8FDDE3E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A84"/>
  </w:style>
  <w:style w:type="table" w:styleId="TableGrid">
    <w:name w:val="Table Grid"/>
    <w:basedOn w:val="TableNormal"/>
    <w:uiPriority w:val="39"/>
    <w:rsid w:val="00A3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CC"/>
  </w:style>
  <w:style w:type="paragraph" w:styleId="Footer">
    <w:name w:val="footer"/>
    <w:basedOn w:val="Normal"/>
    <w:link w:val="FooterChar"/>
    <w:uiPriority w:val="99"/>
    <w:unhideWhenUsed/>
    <w:rsid w:val="00B46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CC"/>
  </w:style>
  <w:style w:type="character" w:styleId="CommentReference">
    <w:name w:val="annotation reference"/>
    <w:basedOn w:val="DefaultParagraphFont"/>
    <w:uiPriority w:val="99"/>
    <w:semiHidden/>
    <w:unhideWhenUsed/>
    <w:rsid w:val="00E32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3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5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926E2"/>
  </w:style>
  <w:style w:type="character" w:customStyle="1" w:styleId="normaltextrun">
    <w:name w:val="normaltextrun"/>
    <w:basedOn w:val="DefaultParagraphFont"/>
    <w:rsid w:val="001926E2"/>
  </w:style>
  <w:style w:type="character" w:customStyle="1" w:styleId="spellingerror">
    <w:name w:val="spellingerror"/>
    <w:basedOn w:val="DefaultParagraphFont"/>
    <w:rsid w:val="00FE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2019-08-15T09:15:29+00:00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LegacyCaseReferenceNumber xmlns="a73eab51-4d25-4cac-b397-13387b50a15c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Labour Markets Enforcement</TermName>
          <TermId xmlns="http://schemas.microsoft.com/office/infopath/2007/PartnerControls">9b5363d4-bec7-402d-98d2-c6c73c06056f</TermId>
        </TermInfo>
      </Terms>
    </m975189f4ba442ecbf67d4147307b177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CIRRUSPreviousRetentionPolicy xmlns="a73eab51-4d25-4cac-b397-13387b50a15c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HMG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0063f72e-ace3-48fb-9c1f-5b513408b31f">
      <Value>44</Value>
    </TaxCatchAll>
    <LegacyNumericClass xmlns="b67a7830-db79-4a49-bf27-2aff92a2201a" xsi:nil="true"/>
    <LegacyCurrentLocation xmlns="b67a7830-db79-4a49-bf27-2aff92a2201a" xsi:nil="true"/>
    <_dlc_DocId xmlns="0063f72e-ace3-48fb-9c1f-5b513408b31f">2QFN7KK647Q6-1979803119-65730</_dlc_DocId>
    <_dlc_DocIdUrl xmlns="0063f72e-ace3-48fb-9c1f-5b513408b31f">
      <Url>https://beisgov.sharepoint.com/sites/beis/347/_layouts/15/DocIdRedir.aspx?ID=2QFN7KK647Q6-1979803119-65730</Url>
      <Description>2QFN7KK647Q6-1979803119-65730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C4E0D138FAE4DA857794F80E2352D" ma:contentTypeVersion="16471" ma:contentTypeDescription="Create a new document." ma:contentTypeScope="" ma:versionID="86f178e5bbfe0d5a01f3aca95e73f2cf">
  <xsd:schema xmlns:xsd="http://www.w3.org/2001/XMLSchema" xmlns:xs="http://www.w3.org/2001/XMLSchema" xmlns:p="http://schemas.microsoft.com/office/2006/metadata/properties" xmlns:ns1="http://schemas.microsoft.com/sharepoint/v3" xmlns:ns2="b67a7830-db79-4a49-bf27-2aff92a2201a" xmlns:ns3="b413c3fd-5a3b-4239-b985-69032e371c04" xmlns:ns4="0063f72e-ace3-48fb-9c1f-5b513408b31f" xmlns:ns5="a8f60570-4bd3-4f2b-950b-a996de8ab151" xmlns:ns6="a172083e-e40c-4314-b43a-827352a1ed2c" xmlns:ns7="a73eab51-4d25-4cac-b397-13387b50a15c" xmlns:ns8="c963a4c1-1bb4-49f2-a011-9c776a7eed2a" xmlns:ns9="http://schemas.microsoft.com/sharepoint/v4" targetNamespace="http://schemas.microsoft.com/office/2006/metadata/properties" ma:root="true" ma:fieldsID="6180c626c7c1e5ca73f7b7cf5338d6e9" ns1:_="" ns2:_="" ns3:_="" ns4:_="" ns5:_="" ns6:_="" ns7:_="" ns8:_="" ns9:_="">
    <xsd:import namespace="http://schemas.microsoft.com/sharepoint/v3"/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a73eab51-4d25-4cac-b397-13387b50a15c"/>
    <xsd:import namespace="c963a4c1-1bb4-49f2-a011-9c776a7eed2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4:SharedWithUsers" minOccurs="0"/>
                <xsd:element ref="ns4:SharedWithDetails" minOccurs="0"/>
                <xsd:element ref="ns8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9:IconOverlay" minOccurs="0"/>
                <xsd:element ref="ns1:_vti_ItemDeclaredRecord" minOccurs="0"/>
                <xsd:element ref="ns1:_vti_ItemHoldRecordStatus" minOccurs="0"/>
                <xsd:element ref="ns7:CIRRUSPreviousRetentionPolicy" minOccurs="0"/>
                <xsd:element ref="ns7:LegacyCaseReferenceNumber" minOccurs="0"/>
                <xsd:element ref="ns7:MediaServiceEventHashCode" minOccurs="0"/>
                <xsd:element ref="ns7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5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6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7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8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9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0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1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2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3" nillable="true" ma:displayName="Legacy Folder" ma:internalName="LegacyFolder">
      <xsd:simpleType>
        <xsd:restriction base="dms:Note">
          <xsd:maxLength value="255"/>
        </xsd:restriction>
      </xsd:simpleType>
    </xsd:element>
    <xsd:element name="LegacyContentType" ma:index="24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5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6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7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8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9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0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1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2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3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4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5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7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49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0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1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9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0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7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ateFileReceived" ma:index="36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7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38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39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0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1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2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4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5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6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eab51-4d25-4cac-b397-13387b50a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63" nillable="true" ma:displayName="MediaServiceLocation" ma:internalName="MediaServiceLocation" ma:readOnly="true">
      <xsd:simpleType>
        <xsd:restriction base="dms:Text"/>
      </xsd:simpleType>
    </xsd:element>
    <xsd:element name="MediaServiceOCR" ma:index="6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IRRUSPreviousRetentionPolicy" ma:index="76" nillable="true" ma:displayName="Previous Retention Policy" ma:internalName="CIRRUSPreviousRetentionPolicy">
      <xsd:simpleType>
        <xsd:restriction base="dms:Note">
          <xsd:maxLength value="255"/>
        </xsd:restriction>
      </xsd:simpleType>
    </xsd:element>
    <xsd:element name="LegacyCaseReferenceNumber" ma:index="77" nillable="true" ma:displayName="Legacy Case Reference Number" ma:internalName="LegacyCaseReferenceNumber">
      <xsd:simpleType>
        <xsd:restriction base="dms:Note">
          <xsd:maxLength value="255"/>
        </xsd:restriction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8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A14E-768E-44EE-B0FC-E085F6349C2D}">
  <ds:schemaRefs>
    <ds:schemaRef ds:uri="a172083e-e40c-4314-b43a-827352a1ed2c"/>
    <ds:schemaRef ds:uri="a8f60570-4bd3-4f2b-950b-a996de8ab151"/>
    <ds:schemaRef ds:uri="0063f72e-ace3-48fb-9c1f-5b513408b31f"/>
    <ds:schemaRef ds:uri="http://schemas.openxmlformats.org/package/2006/metadata/core-properties"/>
    <ds:schemaRef ds:uri="http://schemas.microsoft.com/sharepoint/v4"/>
    <ds:schemaRef ds:uri="http://schemas.microsoft.com/sharepoint/v3"/>
    <ds:schemaRef ds:uri="c963a4c1-1bb4-49f2-a011-9c776a7eed2a"/>
    <ds:schemaRef ds:uri="http://purl.org/dc/elements/1.1/"/>
    <ds:schemaRef ds:uri="b413c3fd-5a3b-4239-b985-69032e371c04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67a7830-db79-4a49-bf27-2aff92a2201a"/>
    <ds:schemaRef ds:uri="http://purl.org/dc/dcmitype/"/>
    <ds:schemaRef ds:uri="a73eab51-4d25-4cac-b397-13387b50a15c"/>
  </ds:schemaRefs>
</ds:datastoreItem>
</file>

<file path=customXml/itemProps2.xml><?xml version="1.0" encoding="utf-8"?>
<ds:datastoreItem xmlns:ds="http://schemas.openxmlformats.org/officeDocument/2006/customXml" ds:itemID="{20C03847-0F83-4B8B-BC8A-485607A1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2FA04-F0D4-4FFC-803E-9826A4C6F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a73eab51-4d25-4cac-b397-13387b50a15c"/>
    <ds:schemaRef ds:uri="c963a4c1-1bb4-49f2-a011-9c776a7eed2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8D057-75CF-4099-AC2B-3FBFD8A2F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152F40-9402-4C27-93D4-BA0ECF3B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Ian (Labour Markets)</dc:creator>
  <cp:keywords/>
  <dc:description/>
  <cp:lastModifiedBy>Administrator</cp:lastModifiedBy>
  <cp:revision>2</cp:revision>
  <cp:lastPrinted>2018-10-24T02:03:00Z</cp:lastPrinted>
  <dcterms:created xsi:type="dcterms:W3CDTF">2024-09-24T09:22:00Z</dcterms:created>
  <dcterms:modified xsi:type="dcterms:W3CDTF">2024-09-24T09:22:00Z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44;#Labour Markets Enforcement|9b5363d4-bec7-402d-98d2-c6c73c06056f</vt:lpwstr>
  </property>
  <property fmtid="{D5CDD505-2E9C-101B-9397-08002B2CF9AE}" pid="3" name="ContentTypeId">
    <vt:lpwstr>0x010100EE7C4E0D138FAE4DA857794F80E2352D</vt:lpwstr>
  </property>
  <property fmtid="{D5CDD505-2E9C-101B-9397-08002B2CF9AE}" pid="4" name="_dlc_DocIdItemGuid">
    <vt:lpwstr>e38f0f26-14c3-4997-bec1-1a07f6024faf</vt:lpwstr>
  </property>
  <property fmtid="{D5CDD505-2E9C-101B-9397-08002B2CF9AE}" pid="5" name="MailSubject">
    <vt:lpwstr/>
  </property>
  <property fmtid="{D5CDD505-2E9C-101B-9397-08002B2CF9AE}" pid="6" name="_dlc_BarcodeValue">
    <vt:lpwstr/>
  </property>
  <property fmtid="{D5CDD505-2E9C-101B-9397-08002B2CF9AE}" pid="7" name="Order">
    <vt:r8>5539800</vt:r8>
  </property>
  <property fmtid="{D5CDD505-2E9C-101B-9397-08002B2CF9AE}" pid="8" name="LegacyPaperReason">
    <vt:lpwstr/>
  </property>
  <property fmtid="{D5CDD505-2E9C-101B-9397-08002B2CF9AE}" pid="9" name="MailAttachments">
    <vt:bool>false</vt:bool>
  </property>
  <property fmtid="{D5CDD505-2E9C-101B-9397-08002B2CF9AE}" pid="10" name="MailPreviewData">
    <vt:lpwstr/>
  </property>
  <property fmtid="{D5CDD505-2E9C-101B-9397-08002B2CF9AE}" pid="11" name="LegacyMovementHistory">
    <vt:lpwstr/>
  </property>
  <property fmtid="{D5CDD505-2E9C-101B-9397-08002B2CF9AE}" pid="12" name="xd_ProgID">
    <vt:lpwstr/>
  </property>
  <property fmtid="{D5CDD505-2E9C-101B-9397-08002B2CF9AE}" pid="13" name="MailIn-Reply-To">
    <vt:lpwstr/>
  </property>
  <property fmtid="{D5CDD505-2E9C-101B-9397-08002B2CF9AE}" pid="14" name="_dlc_Exempt">
    <vt:bool>false</vt:bool>
  </property>
  <property fmtid="{D5CDD505-2E9C-101B-9397-08002B2CF9AE}" pid="15" name="Held By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ailTo">
    <vt:lpwstr/>
  </property>
  <property fmtid="{D5CDD505-2E9C-101B-9397-08002B2CF9AE}" pid="19" name="_dlc_BarcodeImage">
    <vt:lpwstr/>
  </property>
  <property fmtid="{D5CDD505-2E9C-101B-9397-08002B2CF9AE}" pid="20" name="DLCPolicyLabelLock">
    <vt:lpwstr/>
  </property>
  <property fmtid="{D5CDD505-2E9C-101B-9397-08002B2CF9AE}" pid="21" name="LegacyHistoricalBarcode">
    <vt:lpwstr/>
  </property>
  <property fmtid="{D5CDD505-2E9C-101B-9397-08002B2CF9AE}" pid="22" name="MailFrom">
    <vt:lpwstr/>
  </property>
  <property fmtid="{D5CDD505-2E9C-101B-9397-08002B2CF9AE}" pid="23" name="MailOriginalSubject">
    <vt:lpwstr/>
  </property>
  <property fmtid="{D5CDD505-2E9C-101B-9397-08002B2CF9AE}" pid="24" name="LegacyAddresses">
    <vt:lpwstr/>
  </property>
  <property fmtid="{D5CDD505-2E9C-101B-9397-08002B2CF9AE}" pid="25" name="DLCPolicyLabelClientValue">
    <vt:lpwstr/>
  </property>
  <property fmtid="{D5CDD505-2E9C-101B-9397-08002B2CF9AE}" pid="26" name="LegacyDisposition">
    <vt:lpwstr/>
  </property>
  <property fmtid="{D5CDD505-2E9C-101B-9397-08002B2CF9AE}" pid="27" name="LegacyOriginator">
    <vt:lpwstr/>
  </property>
  <property fmtid="{D5CDD505-2E9C-101B-9397-08002B2CF9AE}" pid="28" name="MailCc">
    <vt:lpwstr/>
  </property>
  <property fmtid="{D5CDD505-2E9C-101B-9397-08002B2CF9AE}" pid="29" name="LegacyPhysicalObject">
    <vt:bool>false</vt:bool>
  </property>
  <property fmtid="{D5CDD505-2E9C-101B-9397-08002B2CF9AE}" pid="30" name="LegacyAddressee">
    <vt:lpwstr/>
  </property>
  <property fmtid="{D5CDD505-2E9C-101B-9397-08002B2CF9AE}" pid="31" name="_dlc_BarcodePreview">
    <vt:lpwstr/>
  </property>
  <property fmtid="{D5CDD505-2E9C-101B-9397-08002B2CF9AE}" pid="32" name="xd_Signature">
    <vt:bool>false</vt:bool>
  </property>
  <property fmtid="{D5CDD505-2E9C-101B-9397-08002B2CF9AE}" pid="33" name="MailReferences">
    <vt:lpwstr/>
  </property>
  <property fmtid="{D5CDD505-2E9C-101B-9397-08002B2CF9AE}" pid="34" name="Barcode">
    <vt:lpwstr/>
  </property>
  <property fmtid="{D5CDD505-2E9C-101B-9397-08002B2CF9AE}" pid="35" name="LegacySubject">
    <vt:lpwstr/>
  </property>
  <property fmtid="{D5CDD505-2E9C-101B-9397-08002B2CF9AE}" pid="36" name="LegacyBarcode">
    <vt:lpwstr/>
  </property>
  <property fmtid="{D5CDD505-2E9C-101B-9397-08002B2CF9AE}" pid="37" name="MailReply-To">
    <vt:lpwstr/>
  </property>
  <property fmtid="{D5CDD505-2E9C-101B-9397-08002B2CF9AE}" pid="38" name="LegacyForeignBarcode">
    <vt:lpwstr/>
  </property>
  <property fmtid="{D5CDD505-2E9C-101B-9397-08002B2CF9AE}" pid="39" name="DLCPolicyLabelValue">
    <vt:lpwstr/>
  </property>
  <property fmtid="{D5CDD505-2E9C-101B-9397-08002B2CF9AE}" pid="40" name="ItemID">
    <vt:i4>1366376</vt:i4>
  </property>
</Properties>
</file>